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7EF" w:rsidRPr="003467EF" w:rsidRDefault="003467EF" w:rsidP="003467EF">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3467EF">
        <w:rPr>
          <w:rFonts w:ascii="Times New Roman" w:eastAsia="Times New Roman" w:hAnsi="Times New Roman" w:cs="Times New Roman"/>
          <w:sz w:val="24"/>
          <w:szCs w:val="24"/>
        </w:rPr>
        <w:t>PAULUS EPISCOPUS </w:t>
      </w:r>
      <w:r w:rsidRPr="003467EF">
        <w:rPr>
          <w:rFonts w:ascii="Times New Roman" w:eastAsia="Times New Roman" w:hAnsi="Times New Roman" w:cs="Times New Roman"/>
          <w:sz w:val="24"/>
          <w:szCs w:val="24"/>
        </w:rPr>
        <w:br/>
        <w:t>SERVUS SERVORUM DEI </w:t>
      </w:r>
      <w:r w:rsidRPr="003467EF">
        <w:rPr>
          <w:rFonts w:ascii="Times New Roman" w:eastAsia="Times New Roman" w:hAnsi="Times New Roman" w:cs="Times New Roman"/>
          <w:sz w:val="24"/>
          <w:szCs w:val="24"/>
        </w:rPr>
        <w:br/>
        <w:t>UNA CUM SACROSANCTI CONCILII PATRIBUS </w:t>
      </w:r>
      <w:r w:rsidRPr="003467EF">
        <w:rPr>
          <w:rFonts w:ascii="Times New Roman" w:eastAsia="Times New Roman" w:hAnsi="Times New Roman" w:cs="Times New Roman"/>
          <w:sz w:val="24"/>
          <w:szCs w:val="24"/>
        </w:rPr>
        <w:br/>
        <w:t>AD PERPETUAM REI MEMORIAM</w:t>
      </w:r>
    </w:p>
    <w:p w:rsidR="003467EF" w:rsidRPr="003467EF" w:rsidRDefault="003467EF" w:rsidP="003467EF">
      <w:pPr>
        <w:spacing w:before="100" w:beforeAutospacing="1" w:after="100" w:afterAutospacing="1" w:line="240" w:lineRule="auto"/>
        <w:jc w:val="center"/>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DECLARATIO DE ECCLESIAE HABITUDINE </w:t>
      </w:r>
      <w:r w:rsidRPr="003467EF">
        <w:rPr>
          <w:rFonts w:ascii="Times New Roman" w:eastAsia="Times New Roman" w:hAnsi="Times New Roman" w:cs="Times New Roman"/>
          <w:sz w:val="24"/>
          <w:szCs w:val="24"/>
        </w:rPr>
        <w:br/>
        <w:t>AD RELIGIONES NON-CHRISTIANAS </w:t>
      </w:r>
      <w:r w:rsidRPr="003467EF">
        <w:rPr>
          <w:rFonts w:ascii="Times New Roman" w:eastAsia="Times New Roman" w:hAnsi="Times New Roman" w:cs="Times New Roman"/>
          <w:sz w:val="24"/>
          <w:szCs w:val="24"/>
        </w:rPr>
        <w:br/>
      </w:r>
      <w:r w:rsidRPr="003467EF">
        <w:rPr>
          <w:rFonts w:ascii="Times New Roman" w:eastAsia="Times New Roman" w:hAnsi="Times New Roman" w:cs="Times New Roman"/>
          <w:b/>
          <w:bCs/>
          <w:i/>
          <w:iCs/>
          <w:sz w:val="24"/>
          <w:szCs w:val="24"/>
        </w:rPr>
        <w:t>NOSTRA AETATE</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 </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b/>
          <w:bCs/>
          <w:sz w:val="24"/>
          <w:szCs w:val="24"/>
        </w:rPr>
        <w:t>1</w:t>
      </w:r>
      <w:r w:rsidRPr="003467EF">
        <w:rPr>
          <w:rFonts w:ascii="Times New Roman" w:eastAsia="Times New Roman" w:hAnsi="Times New Roman" w:cs="Times New Roman"/>
          <w:sz w:val="24"/>
          <w:szCs w:val="24"/>
        </w:rPr>
        <w:t>. Nostra aetate, in qua genus humanum in dies arctius unitur et necessitudines inter varios populos augentur, Ecclesia attentius considerat quae sit sua habitudo ad religiones non-christianas. In suo munere unitatem et caritatem inter homines, immo et inter gentes, fovendi ea imprimis hic considerat quae hominibus sunt communia et ad mutuum consortium ducunt.</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Una enim communitas sunt omnes gentes, unam habent originem, cum Deus omne genus hominum inhabitare fecerit super universam faciem terrae (1), unum etiam habent finem ultimum, Deum, cuius providentia ac bonitatis testimonium et consilia salutis ad omnes se extendunt (2), donec uniantur electi in Civitate Sancta, quam claritas Dei illuminabit, ubi gentes ambulabunt in lumine eius (3).</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Homines a variis religionibus responsum exspectant de reconditis condicionis humanae aenigmatibus, quae sicut olim et hodie corda hominum intime commovent: quid sit homo, quis sensus et finis vitae nostrae, quid bonum et quid peccatum, quem ortum habeant dolores et quem finem, quae sit via ad veram felicitatem obtinendam, quid mors, iudicium et retributio post mortem, quid demum illud ultimum et ineffabile mysterium quod nostram existentiam amplectitur, ex quo ortum sumimus et quo tendimus.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b/>
          <w:bCs/>
          <w:sz w:val="24"/>
          <w:szCs w:val="24"/>
        </w:rPr>
        <w:t>2</w:t>
      </w:r>
      <w:r w:rsidRPr="003467EF">
        <w:rPr>
          <w:rFonts w:ascii="Times New Roman" w:eastAsia="Times New Roman" w:hAnsi="Times New Roman" w:cs="Times New Roman"/>
          <w:sz w:val="24"/>
          <w:szCs w:val="24"/>
        </w:rPr>
        <w:t>. Iam ab antiquo usque ad tempus hodiernum apud diversas gentes invenitur quaedam perceptio illius arcanae virtutis, quae cursui rerum et eventibus vitae humanae praesens est, immo aliquando agnitio Summi Numinis vel etiam Patris. Quae perceptio atque agnitio vitam earum intimo sensu religioso penetrant. Religiones vero cum progressu culturae connexae subtilioribus notionibus et lingua magis exculta ad easdem quaestiones respondere satagunt. Ita in Hinduismo homines mysterium divinum scrutantur et exprimunt inexhausta fecunditate mythorum et acutis conatibus philosophiae, atque liberationem quaerunt ab angustiis nostrae condicionis vel per formas vitae asceticae vel per profundam meditationem vel per refugium ad Deum cum amore et confidentia. In Buddhismo secundum varias eius formas radicalis insufficientia mundi huius mutabilis agnoscitur et via docetur qua homines, animo devoto et confidente, sive statum perfectae liberationis acquirere, sive, vel propriis conatibus vel superiore auxilio innixi, ad summam illuminationem pertingere valeant. Sic ceterae quoque religiones, quae per totum mundum inveniuntur, inquietudini cordis hominum variis modis occurrere nituntur proponendo vias, doctrinas scilicet ac praecepta vitae, necnon ritus sacros.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Ecclesia catholica nihil eorum, quae in his religionibus vera et sancta sunt, reicit. Sincera cum observantia considerat illos modos agendi et vivendi, illa praecepta et doctrinas, quae, quamvis ab iis quae ipsa tenet et proponit in multis discrepent, haud raro referunt tamen radium illius Veritatis, quae illuminat omnes homines. Annuntiat vero et annuntiare tenetur indesinenter Christum, qui est "via et veritas et vita" (</w:t>
      </w:r>
      <w:r w:rsidRPr="003467EF">
        <w:rPr>
          <w:rFonts w:ascii="Times New Roman" w:eastAsia="Times New Roman" w:hAnsi="Times New Roman" w:cs="Times New Roman"/>
          <w:i/>
          <w:iCs/>
          <w:sz w:val="24"/>
          <w:szCs w:val="24"/>
        </w:rPr>
        <w:t>Io</w:t>
      </w:r>
      <w:r w:rsidRPr="003467EF">
        <w:rPr>
          <w:rFonts w:ascii="Times New Roman" w:eastAsia="Times New Roman" w:hAnsi="Times New Roman" w:cs="Times New Roman"/>
          <w:sz w:val="24"/>
          <w:szCs w:val="24"/>
        </w:rPr>
        <w:t> 14,6), in quo homines plenitudinem vitae religiosae inveniunt, in quo Deus omnia Sibi reconciliavit (4).</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lastRenderedPageBreak/>
        <w:t>Filios suos igitur hortatur, ut cum prudentia et caritate per colloquia et collaborationem cum asseclis aliarum religionum, fidem et vitam christianam testantes, illa bona spiritualia et moralia necnon illos valores socio-culturales, quae apud eos inveniuntur, agnoscant, servent et promoveant.</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b/>
          <w:bCs/>
          <w:sz w:val="24"/>
          <w:szCs w:val="24"/>
        </w:rPr>
        <w:t>3</w:t>
      </w:r>
      <w:r w:rsidRPr="003467EF">
        <w:rPr>
          <w:rFonts w:ascii="Times New Roman" w:eastAsia="Times New Roman" w:hAnsi="Times New Roman" w:cs="Times New Roman"/>
          <w:sz w:val="24"/>
          <w:szCs w:val="24"/>
        </w:rPr>
        <w:t xml:space="preserve">. Ecclesia cum aestimatione quoque Muslimos respicit qui unicum Deum adorant, viventem et subsistentem, misericordem et omnipotentem, Creatorem caeli et terrae (5), homines allocutum, cuius occultis etiam decretis toto animo se submittere student, sicut Deo se submisit Abraham ad quem fides islamica libenter sese refert. Iesum, quem quidem ut Deum non agnoscunt, ut prophetam tamen venerantur, matremque eius virginalem honorant Mariam et aliquando eam devote etiam invocant. </w:t>
      </w:r>
      <w:r w:rsidRPr="003467EF">
        <w:rPr>
          <w:rFonts w:ascii="Times New Roman" w:eastAsia="Times New Roman" w:hAnsi="Times New Roman" w:cs="Times New Roman"/>
          <w:sz w:val="24"/>
          <w:szCs w:val="24"/>
          <w:lang w:val="en-US"/>
        </w:rPr>
        <w:t>Diem insuper iudicii expectant cum Deus omnes homines resuscitatos remunerabit. Exinde vitam moralem aestimant et Deum maxime in oratione, eleemosynis et ieiunio colunt.</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Quodsi in decursu saeculorum inter Christianos et Muslimos non paucae dissensiones et inimicitiae exortae sint, Sacrosancta Synodus omnes exhortatur, ut, praeterita obliviscentes, se ad comprehensionem mutuam sincere exerceant et pro omnibus hominibus iustitiam socialem, bona moralia necnon pacem et libertatem communiter tueantur et promoveant.</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b/>
          <w:bCs/>
          <w:sz w:val="24"/>
          <w:szCs w:val="24"/>
          <w:lang w:val="en-US"/>
        </w:rPr>
        <w:t>4</w:t>
      </w:r>
      <w:r w:rsidRPr="003467EF">
        <w:rPr>
          <w:rFonts w:ascii="Times New Roman" w:eastAsia="Times New Roman" w:hAnsi="Times New Roman" w:cs="Times New Roman"/>
          <w:sz w:val="24"/>
          <w:szCs w:val="24"/>
          <w:lang w:val="en-US"/>
        </w:rPr>
        <w:t>. Mysterium Ecclesiae perscrutans, Sacra haec Synodus meminit vinculi, quo populus Novi Testamenti cum stirpe Abrahae spiritualiter coniunctus est.</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lang w:val="en-US"/>
        </w:rPr>
        <w:t xml:space="preserve">Ecclesia enim Christi agnoscit fidei et electionis suae initia iam apud Patriarchas, Moysen et Prophetas, iuxta salutare Dei mysterium, inveniri. Confitetur omnes Christifideles, Abrahae filios secundum fidem (6), in eiusdem Patriarchae vocatione includi et salutem Ecclesiae in populi electi exitu de terra servitutis mystice praesignari. </w:t>
      </w:r>
      <w:r w:rsidRPr="003467EF">
        <w:rPr>
          <w:rFonts w:ascii="Times New Roman" w:eastAsia="Times New Roman" w:hAnsi="Times New Roman" w:cs="Times New Roman"/>
          <w:sz w:val="24"/>
          <w:szCs w:val="24"/>
        </w:rPr>
        <w:t>Quare nequit Ecclesia oblivisci se per populum illum, quocum Deus ex ineffabili misericordia sua Antiquum Foedus inire dignatus est, Revelationem Veteris Testamenti accepisse et nutriri radice bonae olivae, in quam inserti sunt rami oleastri Genti (7). Credit enim Ecclesia Christum, Pacem nostram, per crucem Iudaeos et Gentes reconciliasse et utraque in Semetipso fecisse unum (8).</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Semper quoque prae oculis habet Ecclesia verba Apostoli Pauli de cognatis eius, "quorum adoptio est filiorum et gloria et testamentum et legislatio et obsequium et promissa, quorum patres et ex quibus est Christus secundum carnem" (</w:t>
      </w:r>
      <w:r w:rsidRPr="003467EF">
        <w:rPr>
          <w:rFonts w:ascii="Times New Roman" w:eastAsia="Times New Roman" w:hAnsi="Times New Roman" w:cs="Times New Roman"/>
          <w:i/>
          <w:iCs/>
          <w:sz w:val="24"/>
          <w:szCs w:val="24"/>
        </w:rPr>
        <w:t>Rom</w:t>
      </w:r>
      <w:r w:rsidRPr="003467EF">
        <w:rPr>
          <w:rFonts w:ascii="Times New Roman" w:eastAsia="Times New Roman" w:hAnsi="Times New Roman" w:cs="Times New Roman"/>
          <w:sz w:val="24"/>
          <w:szCs w:val="24"/>
        </w:rPr>
        <w:t> 9,4-5), filius Mariae Virginis. Recordatur etiam ex populo iudaico natos esse Apostolos, Ecclesiae fundamenta et columnas, atque plurimos illos primos discipulos, qui Evangelium Christi mundo annuntiaverunt.</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Teste Sacra Scriptura, Ierusalem tempus visitationis suae non cognovit (9), atque Iudaei magna parte Evangelium non acceperunt, immo non pauci diffusioni eius se opposuerunt (10). Nihilominus, secundum Apostolum, Iudaei Deo, cuius dona et vocatio sine paenitentia sunt, adhuc carissimi manent propter Patres (11). Una cum Prophetis eodemque Apostolo Ecclesia diem Deo soli notum expectat, quo populi omnes una voce Dominum invocabunt et "servient ei umero uno" (</w:t>
      </w:r>
      <w:r w:rsidRPr="003467EF">
        <w:rPr>
          <w:rFonts w:ascii="Times New Roman" w:eastAsia="Times New Roman" w:hAnsi="Times New Roman" w:cs="Times New Roman"/>
          <w:i/>
          <w:iCs/>
          <w:sz w:val="24"/>
          <w:szCs w:val="24"/>
        </w:rPr>
        <w:t>Soph</w:t>
      </w:r>
      <w:r w:rsidRPr="003467EF">
        <w:rPr>
          <w:rFonts w:ascii="Times New Roman" w:eastAsia="Times New Roman" w:hAnsi="Times New Roman" w:cs="Times New Roman"/>
          <w:sz w:val="24"/>
          <w:szCs w:val="24"/>
        </w:rPr>
        <w:t> 3,9) (12).</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Cum igitur adeo magnum sit patrimonium spirituale Christianis et Iudaeis commune, Sacra haec Synodus mutuam utriusque cognitionem et aestimationem, quae praesertim studiis biblicis et theologicis atque fraternis colloquiis obtinetur, fovere vult et commendare.</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 xml:space="preserve">Etsi auctoritates Iudaeorum cum suis asseclis mortem Christi urserunt (13), tamen ea quae in passione Eius perpetrata sunt nec omnibus indistincte Iudaeis tunc viventibus, nec Iudaeis hodiernis imputari possunt. Licet autem Ecclesia sit novus populus Dei, Iudaei tamen neque ut a Deo reprobati neque ut maledicti exhibeantur, quasi hoc ex Sacris Litteris sequatur. Ideo curent omnes </w:t>
      </w:r>
      <w:r w:rsidRPr="003467EF">
        <w:rPr>
          <w:rFonts w:ascii="Times New Roman" w:eastAsia="Times New Roman" w:hAnsi="Times New Roman" w:cs="Times New Roman"/>
          <w:sz w:val="24"/>
          <w:szCs w:val="24"/>
        </w:rPr>
        <w:lastRenderedPageBreak/>
        <w:t>ne in catechesi et in verbi Dei praedicatione habenda quidquam doceant, quod cum veritate evangelica et spiritu Christi non congruat.</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Praeterea, Ecclesia, quae omnes persecutiones in quosvis homines reprobat, memor communis cum Iudaeis patrimonii, nec rationibus politicis sed religiosa caritate evangelica impulsa, odia, persecutiones, antisemitismi manifestationes, quovis tempore et a quibusvis in Iudaeos habita, deplorat.</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Ceterum Christus, uti semper tenuit et tenet Ecclesia, propter peccata omnium hominum voluntarie passionem suam et mortem immensa caritate obiit, ut omnes salutem consequantur. Ecclesiae praedicantis ergo est annuntiare crucem Christi tamquam signum universalis Dei amoris et fontem omnis gratiae.</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b/>
          <w:bCs/>
          <w:sz w:val="24"/>
          <w:szCs w:val="24"/>
        </w:rPr>
        <w:t>5</w:t>
      </w:r>
      <w:r w:rsidRPr="003467EF">
        <w:rPr>
          <w:rFonts w:ascii="Times New Roman" w:eastAsia="Times New Roman" w:hAnsi="Times New Roman" w:cs="Times New Roman"/>
          <w:sz w:val="24"/>
          <w:szCs w:val="24"/>
        </w:rPr>
        <w:t>. Nequimus vero Deum omnium Patrem invocare, si erga quosdam homines, ad imaginem Dei creatos, fraterne nos gerere renuimus. Habitudo hominis ad Deum Patrem et habitudo hominis ad homines fratres adeo connectuntur, ut Scriptura dicat: "qui non diligit, non novit Deum" (</w:t>
      </w:r>
      <w:r w:rsidRPr="003467EF">
        <w:rPr>
          <w:rFonts w:ascii="Times New Roman" w:eastAsia="Times New Roman" w:hAnsi="Times New Roman" w:cs="Times New Roman"/>
          <w:i/>
          <w:iCs/>
          <w:sz w:val="24"/>
          <w:szCs w:val="24"/>
        </w:rPr>
        <w:t>1 Io</w:t>
      </w:r>
      <w:r w:rsidRPr="003467EF">
        <w:rPr>
          <w:rFonts w:ascii="Times New Roman" w:eastAsia="Times New Roman" w:hAnsi="Times New Roman" w:cs="Times New Roman"/>
          <w:sz w:val="24"/>
          <w:szCs w:val="24"/>
        </w:rPr>
        <w:t> 4,8).</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Fundamentum ergo tollitur omni theoriae vel praxi quae inter hominem et hominem, inter gentem et gentem, discrimen quoad humanam dignitatem et iura exinde dimanantia inducit.</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Ecclesia igitur quamvis hominum discriminationem aut vexationem stirpis vel coloris, condicionis vel religionis causa factam tamquam a Christi mente alienam, reprobat. Proinde, Christifideles Sacra Synodus, vestigia Sanctorum Apostolorum Petri et Pauli premens, ardenter obsecrat ut "conversationem... inter gentes habentes bonam" (</w:t>
      </w:r>
      <w:r w:rsidRPr="003467EF">
        <w:rPr>
          <w:rFonts w:ascii="Times New Roman" w:eastAsia="Times New Roman" w:hAnsi="Times New Roman" w:cs="Times New Roman"/>
          <w:i/>
          <w:iCs/>
          <w:sz w:val="24"/>
          <w:szCs w:val="24"/>
        </w:rPr>
        <w:t>1 Pt </w:t>
      </w:r>
      <w:r w:rsidRPr="003467EF">
        <w:rPr>
          <w:rFonts w:ascii="Times New Roman" w:eastAsia="Times New Roman" w:hAnsi="Times New Roman" w:cs="Times New Roman"/>
          <w:sz w:val="24"/>
          <w:szCs w:val="24"/>
        </w:rPr>
        <w:t>2,12), si fieri potest, quod in eis est cum omnibus hominibus pacem habeant (14), ita ut vere sint filii Patris qui in caelis est (15).</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i/>
          <w:iCs/>
          <w:sz w:val="24"/>
          <w:szCs w:val="24"/>
        </w:rPr>
      </w:pPr>
      <w:r w:rsidRPr="003467EF">
        <w:rPr>
          <w:rFonts w:ascii="Times New Roman" w:eastAsia="Times New Roman" w:hAnsi="Times New Roman" w:cs="Times New Roman"/>
          <w:i/>
          <w:iCs/>
          <w:sz w:val="24"/>
          <w:szCs w:val="24"/>
        </w:rPr>
        <w:t> </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i/>
          <w:iCs/>
          <w:sz w:val="24"/>
          <w:szCs w:val="24"/>
        </w:rPr>
      </w:pPr>
      <w:r w:rsidRPr="003467EF">
        <w:rPr>
          <w:rFonts w:ascii="Times New Roman" w:eastAsia="Times New Roman" w:hAnsi="Times New Roman" w:cs="Times New Roman"/>
          <w:i/>
          <w:iCs/>
          <w:sz w:val="24"/>
          <w:szCs w:val="24"/>
          <w:lang w:val="en-US"/>
        </w:rPr>
        <w:t xml:space="preserve">Haec omnia et singula quae in hac Declaratione edicta sunt, placuerunt Sacrosancti Concilii Patribus. </w:t>
      </w:r>
      <w:r w:rsidRPr="003467EF">
        <w:rPr>
          <w:rFonts w:ascii="Times New Roman" w:eastAsia="Times New Roman" w:hAnsi="Times New Roman" w:cs="Times New Roman"/>
          <w:i/>
          <w:iCs/>
          <w:sz w:val="24"/>
          <w:szCs w:val="24"/>
        </w:rPr>
        <w:t>Et Nos, Apostolica a Christo Nobis tradita potestate, illa, una cum Venerabilibus Patribus, in Spiritu Sancto approbamus, decernimus ac statuimus et quae ita synodaliter statuta sunt ad Dei gloriam promulgari iubemus.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Romae, apud S. Petrum</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die XXVIII mensis octobris anno MCMLXV.</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Ego PAULUS Catholicae Ecclesiae Episcopus</w:t>
      </w:r>
    </w:p>
    <w:bookmarkStart w:id="1" w:name="Sequuntur_Patrum_subsignationes"/>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rPr>
        <w:fldChar w:fldCharType="begin"/>
      </w:r>
      <w:r w:rsidRPr="003467EF">
        <w:rPr>
          <w:rFonts w:ascii="Times New Roman" w:eastAsia="Times New Roman" w:hAnsi="Times New Roman" w:cs="Times New Roman"/>
          <w:sz w:val="24"/>
          <w:szCs w:val="24"/>
          <w:lang w:val="en-US"/>
        </w:rPr>
        <w:instrText xml:space="preserve"> HYPERLINK "http://www.vatican.va/archive/hist_councils/ii_vatican_council/documents/vat-ii_decl_19651028_nostra-aetate_lt.html" \l "Patrum_subsignationes" </w:instrText>
      </w:r>
      <w:r w:rsidRPr="003467EF">
        <w:rPr>
          <w:rFonts w:ascii="Times New Roman" w:eastAsia="Times New Roman" w:hAnsi="Times New Roman" w:cs="Times New Roman"/>
          <w:sz w:val="24"/>
          <w:szCs w:val="24"/>
        </w:rPr>
        <w:fldChar w:fldCharType="separate"/>
      </w:r>
      <w:r w:rsidRPr="003467EF">
        <w:rPr>
          <w:rFonts w:ascii="Times New Roman" w:eastAsia="Times New Roman" w:hAnsi="Times New Roman" w:cs="Times New Roman"/>
          <w:sz w:val="24"/>
          <w:szCs w:val="24"/>
          <w:u w:val="single"/>
          <w:lang w:val="en-US"/>
        </w:rPr>
        <w:t>Sequuntur </w:t>
      </w:r>
      <w:r w:rsidRPr="003467EF">
        <w:rPr>
          <w:rFonts w:ascii="Times New Roman" w:eastAsia="Times New Roman" w:hAnsi="Times New Roman" w:cs="Times New Roman"/>
          <w:b/>
          <w:bCs/>
          <w:sz w:val="24"/>
          <w:szCs w:val="24"/>
          <w:u w:val="single"/>
          <w:lang w:val="en-US"/>
        </w:rPr>
        <w:t>Patrum subsignationes</w:t>
      </w:r>
      <w:r w:rsidRPr="003467EF">
        <w:rPr>
          <w:rFonts w:ascii="Times New Roman" w:eastAsia="Times New Roman" w:hAnsi="Times New Roman" w:cs="Times New Roman"/>
          <w:sz w:val="24"/>
          <w:szCs w:val="24"/>
          <w:u w:val="single"/>
          <w:lang w:val="en-US"/>
        </w:rPr>
        <w:t>.</w:t>
      </w:r>
      <w:r w:rsidRPr="003467EF">
        <w:rPr>
          <w:rFonts w:ascii="Times New Roman" w:eastAsia="Times New Roman" w:hAnsi="Times New Roman" w:cs="Times New Roman"/>
          <w:sz w:val="24"/>
          <w:szCs w:val="24"/>
        </w:rPr>
        <w:fldChar w:fldCharType="end"/>
      </w:r>
      <w:bookmarkEnd w:id="1"/>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b/>
          <w:bCs/>
          <w:sz w:val="24"/>
          <w:szCs w:val="24"/>
          <w:lang w:val="en-US"/>
        </w:rPr>
      </w:pPr>
      <w:r w:rsidRPr="003467EF">
        <w:rPr>
          <w:rFonts w:ascii="Times New Roman" w:eastAsia="Times New Roman" w:hAnsi="Times New Roman" w:cs="Times New Roman"/>
          <w:b/>
          <w:bCs/>
          <w:sz w:val="24"/>
          <w:szCs w:val="24"/>
          <w:lang w:val="en-US"/>
        </w:rPr>
        <w:t>VACATIO LEGIS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b/>
          <w:bCs/>
          <w:sz w:val="24"/>
          <w:szCs w:val="24"/>
          <w:lang w:val="en-US"/>
        </w:rPr>
      </w:pPr>
      <w:r w:rsidRPr="003467EF">
        <w:rPr>
          <w:rFonts w:ascii="Times New Roman" w:eastAsia="Times New Roman" w:hAnsi="Times New Roman" w:cs="Times New Roman"/>
          <w:b/>
          <w:bCs/>
          <w:sz w:val="24"/>
          <w:szCs w:val="24"/>
          <w:lang w:val="en-US"/>
        </w:rPr>
        <w:t>PRO DECRETIS PROMULGATIS IN SESSIONE VII</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lastRenderedPageBreak/>
        <w:t>Beatissimus Pater pro novis legibus, quae in modo promulgatis decretis continentur, statuit vacationem usque ad diem vigesimam nonam mensis iunii anni MCMLXVI, nempe usque ad festum Ss. Apostolorum Petri et Pauli proximi anni.</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Interea Summus Pontifex normas edet ad praedictas leges exsequendas.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PERICLES FELICI</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i/>
          <w:iCs/>
          <w:sz w:val="24"/>
          <w:szCs w:val="24"/>
        </w:rPr>
      </w:pPr>
      <w:r w:rsidRPr="003467EF">
        <w:rPr>
          <w:rFonts w:ascii="Times New Roman" w:eastAsia="Times New Roman" w:hAnsi="Times New Roman" w:cs="Times New Roman"/>
          <w:i/>
          <w:iCs/>
          <w:sz w:val="24"/>
          <w:szCs w:val="24"/>
          <w:lang w:val="en-US"/>
        </w:rPr>
        <w:t>Archiepiscopus tit. Samosatensis</w:t>
      </w:r>
      <w:r w:rsidRPr="003467EF">
        <w:rPr>
          <w:rFonts w:ascii="Times New Roman" w:eastAsia="Times New Roman" w:hAnsi="Times New Roman" w:cs="Times New Roman"/>
          <w:i/>
          <w:iCs/>
          <w:sz w:val="24"/>
          <w:szCs w:val="24"/>
          <w:lang w:val="en-US"/>
        </w:rPr>
        <w:br/>
        <w:t xml:space="preserve">Ss. </w:t>
      </w:r>
      <w:r w:rsidRPr="003467EF">
        <w:rPr>
          <w:rFonts w:ascii="Times New Roman" w:eastAsia="Times New Roman" w:hAnsi="Times New Roman" w:cs="Times New Roman"/>
          <w:i/>
          <w:iCs/>
          <w:sz w:val="24"/>
          <w:szCs w:val="24"/>
        </w:rPr>
        <w:t>Concilii Secretarius Generalis</w:t>
      </w:r>
    </w:p>
    <w:p w:rsidR="003467EF" w:rsidRPr="003467EF" w:rsidRDefault="003467EF" w:rsidP="003467EF">
      <w:pPr>
        <w:spacing w:after="0"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pict>
          <v:rect id="_x0000_i1025" style="width:0;height:1.5pt" o:hralign="center" o:hrstd="t" o:hrnoshade="t" o:hr="t" fillcolor="black" stroked="f"/>
        </w:pic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bookmarkStart w:id="2" w:name="Patrum_subsignationes"/>
      <w:r w:rsidRPr="003467EF">
        <w:rPr>
          <w:rFonts w:ascii="Times New Roman" w:eastAsia="Times New Roman" w:hAnsi="Times New Roman" w:cs="Times New Roman"/>
          <w:b/>
          <w:bCs/>
          <w:sz w:val="24"/>
          <w:szCs w:val="24"/>
          <w:lang w:val="en-US"/>
        </w:rPr>
        <w:t>Patrum subsignationes</w:t>
      </w:r>
      <w:bookmarkEnd w:id="2"/>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Ego PAULUS Catholicae Ecclesiae Episcopus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EUGENIUS Episcopus Ostiensis ac Portuensis et S. Rufinae Cardinalis TISSERANT, Sacri Collegii Decanus.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IOSEPHUS Episcopus Albanensis Cardinalis PIZZARDO.</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BENEDICTUS Episcopus Praenestinus Cardinalis Aloisi MASELLA.</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FERDINANDUS Episcopus tit. Veliternus Cardinalis CENTO.</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HAMLETUS IOANNES Episcopus tit. Tusculanus Cardinalis CICOGNANI.</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IOSEPHUS Episcopus tit. Sabinensis et Mandelensis Cardinalis FERRETTO.</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IGNATIUS GABRIEL Cardinalis TAPPOUNI, Patriarcha Antiochenus Syrorum.</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MAXIMUS IV Cardinalis SAIGH, Patriarcha Antiochenus Melkitarum.</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PAULUS PETRUS Cardinalis MEOUCHI, Patriarcha Antiochenus Maronitarum.</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STEPHANUS I Cardinalis SIDAROUSS, Patriarcha Alexandrinus Coptorum.</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EMMANUEL titulo Ss. Marcellini et Petri Presbyter Cardinalis GONÇALVES CEREJEIRA, Patriarcha Lisbonensis.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ACHILLES titulo S. Sixti Presbyter Cardinalis LIÉNART, Episcopus Insulensis.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Ego IACOBUS ALOISIUS titulo S. Laurentii in Damaso Presbyter Cardinalis COPELLO, S. R. E. Cancellarius.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Ego GREGORIUS PETRUS titulo S. Bartholomaei in Insula Presbyter Cardinalis AGAGIANIAN.</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NORMANNUS THOMAS titulo Ss. Quattuor Coronatorum Presbyter Cardinalis GILROY, Archiepiscopus Sydneyensis.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lastRenderedPageBreak/>
        <w:t>† Ego FRANCISCUS titulo Ss. Ioannis et Pauli Presbyter Cardinalis SPELLMAN, Archiepiscopus Neo-Eboracensis.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IACOBUS titulo Ss. Bonifacii et Alexii Presbyter Cardinalis DE BARROS CÂMARA, Archiepiscopus S. Sebastiani Fluminis Ianuarii.</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IOSEPHUS titulo S. Ioannis ante Portam Latinam Presbyter Cardinalis FRINGS, Archiepiscopus Coloniensis.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ERNESTUS titulo S. Sabinae Presbyter Cardinalis RUFFINI, Archiepiscopus Panormitanus.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IULIUS titulo S. Mariae Scalaris Presbyter Cardinalis DÖPFNER, Archiepiscopus Monacensis et Frisingensis.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Ego PAULUS titulo S. Andreae Apostoli de Hortis Presbyter Cardinalis MARELLA.</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Ego GUSTAVUS titulo S. Hieronymi Illyricorum Presbyter Cardinalis TESTA.</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Ego ALOISIUS titulo S. Andreae de Valle Presbyter Cardinalis TRAGLIA.</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 Ego PETRUS TATSUO titulo S. Antonii Patavini de Urbe Presbyter Cardinalis DOI, Archiepiscopus Tokiensis.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IOSEPHUS titulo S. Ioannis Baptistae Florentinorum Presbyter Cardinalis LEFEBVRE, Archiepiscopus Bituricensis.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BERNARDUS titulo S. Ioachimi Presbyter Cardinalis ALFRINK, Archiepiscopus Ultraiectensis.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RUFINUS I. titulo S. Mariae ad Montes Presbyter Cardinalis SANTOS, Archiepiscopus Manilensis.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LAUREANUS titulo S. Francisci Assisiensis ad Ripam Maiorem Presbyter Cardinalis RUGAMBWA, Episcopus Bukobaënsis.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IOSEPHUS tituli Ssmi Redemptoris et S. Alfonsi in Exquiliis Presbyter Cardinalis RITTER, Archiepiscopus S. Ludovici.</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lang w:val="en-US"/>
        </w:rPr>
        <w:t xml:space="preserve">† Ego IOSEPHUS HUMBERTUS titulo Ss. </w:t>
      </w:r>
      <w:r w:rsidRPr="003467EF">
        <w:rPr>
          <w:rFonts w:ascii="Times New Roman" w:eastAsia="Times New Roman" w:hAnsi="Times New Roman" w:cs="Times New Roman"/>
          <w:sz w:val="24"/>
          <w:szCs w:val="24"/>
        </w:rPr>
        <w:t>Andreae et Gregorii ad Clivum Scauri Presbyter Cardinalis QUINTERO, Archiepiscopus Caracensis.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Ego IOSEPHUS titulo S. Priscae Presbyter Cardinalis DA COSTA NUNES.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Ego HILDEBRANDUS titulo S. Sebastiani ad Catacumbas Presbyter Cardinalis ANTONIUTTI.</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Ego EPHRAEM titulo S. Crucis in Hierusalem Presbyter Cardinalis FORNI.</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 Ego IOANNES titulo S. Mariae de Aracoeli Presbyter Cardinalis LANDAZURI RICKETTS, Archiepiscopus Limanus, Primas Peruviae.</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lastRenderedPageBreak/>
        <w:t>† Ego RADULFUS titulo S. Bernardi ad Thermas Presbyter Cardinalis SILVA HENRIQUEZ, Archiepiscopus S. Iacobi in Chile.</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 Ego LEO IOSEPHUS titulo S. Petri ad Vincula Presbyter Cardinalis SUENENS, Archiepiscopus Mechliniensis-Bruxellensis.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 Ego ANGELUS titulo Sacri Cordis Beatae Mariae Virginis ad forum Euclidis Presbyter Cardinalis HERRERA, Episcopus Malacitanus.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Ego ALAPHRIDUS S. Mariae in Domnica Protodiaconus Cardinalis OTTAVIANI.</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Ego FRANCISCUS S. Mariae in Cosmedin Diaconus Cardinalis ROBERTI.</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Ego ARCADIUS SS. Blasii et Caroli ad Catinarios Diaconus Cardinalis LARRAONA.</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Ego FRANCISCUS SS. Cosmae et Damiani Diaconus Cardinalis MORANO</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Ego GUILLELMUS THEODORUS S. Theodori in Palatio Diaconus Cardinalis HEARD.</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Ego AUGUSTINUS S. Sabae Diaconus Cardinalis BEA.</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Ego FRATER MICHAEL S. Pauli Apostoli in Arenula Diaconus Cardinalis BROWNE.</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Ego IOACHIM ANSELMUS S. Apollinaris Diaconus Cardinalis ALBAREDA.</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Ego FRIDERICUS S. Ioannis Bosco in via Tusculana Diaconus Cardinalis CALLORI DI VIGNALE.</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Ego IOSEPHUS S. Michaëlis Archangeli Diaconus Cardinalis CARDIJN.</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Ego CAROLUS S. Mariae in Porticu Diaconus Cardinalis JOURNET.</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 Ego ALBERTUS GORI, Patriarcha Hierosolymitanus Latinorum.</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 Ego IGNATIUS PETRUS XVI BATANIAN, Patriarcha Ciliciae Armenorum.</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 Ego IOSEPHUS VIEIRA ALVERNAZ, Patriarcha Indiarum Orientalium.</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IOANNES CAROLUS MCQUAID, Archiepiscopus Dublinensis, Primas Hiberniae.</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ANDREAS ROHRACHER, Archiepiscopus Salisburgensis, Primas Germaniae.</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DEMETRIUS MOSCATO, Archiepiscopus Primas Salernitanus et Administrator Perpetuus Acernensis.</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 Ego HUGO CAMOZZO, Archiepiscopus Pisanus et Primas Sardiniae et Corsicae.</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 Ego ALEXANDER TOKI , Archiepiscopus Antibarensis, Primas Serbiae</w:t>
      </w:r>
    </w:p>
    <w:p w:rsidR="003467EF" w:rsidRPr="003467EF" w:rsidRDefault="003467EF" w:rsidP="003467EF">
      <w:pPr>
        <w:spacing w:after="0"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pict>
          <v:rect id="_x0000_i1026" style="width:0;height:1.5pt" o:hralign="center" o:hrstd="t" o:hr="t" fillcolor="#a0a0a0" stroked="f"/>
        </w:pic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lastRenderedPageBreak/>
        <w:t>(1) Cfr. </w:t>
      </w:r>
      <w:r w:rsidRPr="003467EF">
        <w:rPr>
          <w:rFonts w:ascii="Times New Roman" w:eastAsia="Times New Roman" w:hAnsi="Times New Roman" w:cs="Times New Roman"/>
          <w:i/>
          <w:iCs/>
          <w:sz w:val="24"/>
          <w:szCs w:val="24"/>
          <w:lang w:val="en-US"/>
        </w:rPr>
        <w:t>Act</w:t>
      </w:r>
      <w:r w:rsidRPr="003467EF">
        <w:rPr>
          <w:rFonts w:ascii="Times New Roman" w:eastAsia="Times New Roman" w:hAnsi="Times New Roman" w:cs="Times New Roman"/>
          <w:sz w:val="24"/>
          <w:szCs w:val="24"/>
          <w:lang w:val="en-US"/>
        </w:rPr>
        <w:t>. 17, 26.</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(2) Cfr. </w:t>
      </w:r>
      <w:r w:rsidRPr="003467EF">
        <w:rPr>
          <w:rFonts w:ascii="Times New Roman" w:eastAsia="Times New Roman" w:hAnsi="Times New Roman" w:cs="Times New Roman"/>
          <w:i/>
          <w:iCs/>
          <w:sz w:val="24"/>
          <w:szCs w:val="24"/>
          <w:lang w:val="en-US"/>
        </w:rPr>
        <w:t>Sap</w:t>
      </w:r>
      <w:r w:rsidRPr="003467EF">
        <w:rPr>
          <w:rFonts w:ascii="Times New Roman" w:eastAsia="Times New Roman" w:hAnsi="Times New Roman" w:cs="Times New Roman"/>
          <w:sz w:val="24"/>
          <w:szCs w:val="24"/>
          <w:lang w:val="en-US"/>
        </w:rPr>
        <w:t>. 8,1; </w:t>
      </w:r>
      <w:r w:rsidRPr="003467EF">
        <w:rPr>
          <w:rFonts w:ascii="Times New Roman" w:eastAsia="Times New Roman" w:hAnsi="Times New Roman" w:cs="Times New Roman"/>
          <w:i/>
          <w:iCs/>
          <w:sz w:val="24"/>
          <w:szCs w:val="24"/>
          <w:lang w:val="en-US"/>
        </w:rPr>
        <w:t>Act</w:t>
      </w:r>
      <w:r w:rsidRPr="003467EF">
        <w:rPr>
          <w:rFonts w:ascii="Times New Roman" w:eastAsia="Times New Roman" w:hAnsi="Times New Roman" w:cs="Times New Roman"/>
          <w:sz w:val="24"/>
          <w:szCs w:val="24"/>
          <w:lang w:val="en-US"/>
        </w:rPr>
        <w:t>. 14,17; </w:t>
      </w:r>
      <w:r w:rsidRPr="003467EF">
        <w:rPr>
          <w:rFonts w:ascii="Times New Roman" w:eastAsia="Times New Roman" w:hAnsi="Times New Roman" w:cs="Times New Roman"/>
          <w:i/>
          <w:iCs/>
          <w:sz w:val="24"/>
          <w:szCs w:val="24"/>
          <w:lang w:val="en-US"/>
        </w:rPr>
        <w:t>Rom</w:t>
      </w:r>
      <w:r w:rsidRPr="003467EF">
        <w:rPr>
          <w:rFonts w:ascii="Times New Roman" w:eastAsia="Times New Roman" w:hAnsi="Times New Roman" w:cs="Times New Roman"/>
          <w:sz w:val="24"/>
          <w:szCs w:val="24"/>
          <w:lang w:val="en-US"/>
        </w:rPr>
        <w:t>. 2,6-7; 1 </w:t>
      </w:r>
      <w:r w:rsidRPr="003467EF">
        <w:rPr>
          <w:rFonts w:ascii="Times New Roman" w:eastAsia="Times New Roman" w:hAnsi="Times New Roman" w:cs="Times New Roman"/>
          <w:i/>
          <w:iCs/>
          <w:sz w:val="24"/>
          <w:szCs w:val="24"/>
          <w:lang w:val="en-US"/>
        </w:rPr>
        <w:t>Tim</w:t>
      </w:r>
      <w:r w:rsidRPr="003467EF">
        <w:rPr>
          <w:rFonts w:ascii="Times New Roman" w:eastAsia="Times New Roman" w:hAnsi="Times New Roman" w:cs="Times New Roman"/>
          <w:sz w:val="24"/>
          <w:szCs w:val="24"/>
          <w:lang w:val="en-US"/>
        </w:rPr>
        <w:t>. 2, 4.</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(3) Cfr. </w:t>
      </w:r>
      <w:r w:rsidRPr="003467EF">
        <w:rPr>
          <w:rFonts w:ascii="Times New Roman" w:eastAsia="Times New Roman" w:hAnsi="Times New Roman" w:cs="Times New Roman"/>
          <w:i/>
          <w:iCs/>
          <w:sz w:val="24"/>
          <w:szCs w:val="24"/>
        </w:rPr>
        <w:t>Apoc</w:t>
      </w:r>
      <w:r w:rsidRPr="003467EF">
        <w:rPr>
          <w:rFonts w:ascii="Times New Roman" w:eastAsia="Times New Roman" w:hAnsi="Times New Roman" w:cs="Times New Roman"/>
          <w:sz w:val="24"/>
          <w:szCs w:val="24"/>
        </w:rPr>
        <w:t>. 21,23-24.</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(4) Cfr. 2 </w:t>
      </w:r>
      <w:r w:rsidRPr="003467EF">
        <w:rPr>
          <w:rFonts w:ascii="Times New Roman" w:eastAsia="Times New Roman" w:hAnsi="Times New Roman" w:cs="Times New Roman"/>
          <w:i/>
          <w:iCs/>
          <w:sz w:val="24"/>
          <w:szCs w:val="24"/>
        </w:rPr>
        <w:t>Cor</w:t>
      </w:r>
      <w:r w:rsidRPr="003467EF">
        <w:rPr>
          <w:rFonts w:ascii="Times New Roman" w:eastAsia="Times New Roman" w:hAnsi="Times New Roman" w:cs="Times New Roman"/>
          <w:sz w:val="24"/>
          <w:szCs w:val="24"/>
        </w:rPr>
        <w:t>. 5,18-19.</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rPr>
        <w:t>(5) Cfr. S. Gregorios VII., </w:t>
      </w:r>
      <w:r w:rsidRPr="003467EF">
        <w:rPr>
          <w:rFonts w:ascii="Times New Roman" w:eastAsia="Times New Roman" w:hAnsi="Times New Roman" w:cs="Times New Roman"/>
          <w:i/>
          <w:iCs/>
          <w:sz w:val="24"/>
          <w:szCs w:val="24"/>
        </w:rPr>
        <w:t>Epist. III</w:t>
      </w:r>
      <w:r w:rsidRPr="003467EF">
        <w:rPr>
          <w:rFonts w:ascii="Times New Roman" w:eastAsia="Times New Roman" w:hAnsi="Times New Roman" w:cs="Times New Roman"/>
          <w:sz w:val="24"/>
          <w:szCs w:val="24"/>
        </w:rPr>
        <w:t xml:space="preserve">, 21 ad Anazir (Al-Nãşir), regem Mauritaniae, ed. </w:t>
      </w:r>
      <w:r w:rsidRPr="003467EF">
        <w:rPr>
          <w:rFonts w:ascii="Times New Roman" w:eastAsia="Times New Roman" w:hAnsi="Times New Roman" w:cs="Times New Roman"/>
          <w:sz w:val="24"/>
          <w:szCs w:val="24"/>
          <w:lang w:val="en-US"/>
        </w:rPr>
        <w:t>E. Caspar in MGH, </w:t>
      </w:r>
      <w:r w:rsidRPr="003467EF">
        <w:rPr>
          <w:rFonts w:ascii="Times New Roman" w:eastAsia="Times New Roman" w:hAnsi="Times New Roman" w:cs="Times New Roman"/>
          <w:i/>
          <w:iCs/>
          <w:sz w:val="24"/>
          <w:szCs w:val="24"/>
          <w:lang w:val="en-US"/>
        </w:rPr>
        <w:t>Ep. Sel. II</w:t>
      </w:r>
      <w:r w:rsidRPr="003467EF">
        <w:rPr>
          <w:rFonts w:ascii="Times New Roman" w:eastAsia="Times New Roman" w:hAnsi="Times New Roman" w:cs="Times New Roman"/>
          <w:sz w:val="24"/>
          <w:szCs w:val="24"/>
          <w:lang w:val="en-US"/>
        </w:rPr>
        <w:t> (1920) I, p. 288, 11-15; PL 148, 451 A.</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(6) Cfr. </w:t>
      </w:r>
      <w:r w:rsidRPr="003467EF">
        <w:rPr>
          <w:rFonts w:ascii="Times New Roman" w:eastAsia="Times New Roman" w:hAnsi="Times New Roman" w:cs="Times New Roman"/>
          <w:i/>
          <w:iCs/>
          <w:sz w:val="24"/>
          <w:szCs w:val="24"/>
          <w:lang w:val="en-US"/>
        </w:rPr>
        <w:t>Gal</w:t>
      </w:r>
      <w:r w:rsidRPr="003467EF">
        <w:rPr>
          <w:rFonts w:ascii="Times New Roman" w:eastAsia="Times New Roman" w:hAnsi="Times New Roman" w:cs="Times New Roman"/>
          <w:sz w:val="24"/>
          <w:szCs w:val="24"/>
          <w:lang w:val="en-US"/>
        </w:rPr>
        <w:t>. 3,7.</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(7) Cfr. </w:t>
      </w:r>
      <w:r w:rsidRPr="003467EF">
        <w:rPr>
          <w:rFonts w:ascii="Times New Roman" w:eastAsia="Times New Roman" w:hAnsi="Times New Roman" w:cs="Times New Roman"/>
          <w:i/>
          <w:iCs/>
          <w:sz w:val="24"/>
          <w:szCs w:val="24"/>
          <w:lang w:val="en-US"/>
        </w:rPr>
        <w:t>Rom</w:t>
      </w:r>
      <w:r w:rsidRPr="003467EF">
        <w:rPr>
          <w:rFonts w:ascii="Times New Roman" w:eastAsia="Times New Roman" w:hAnsi="Times New Roman" w:cs="Times New Roman"/>
          <w:sz w:val="24"/>
          <w:szCs w:val="24"/>
          <w:lang w:val="en-US"/>
        </w:rPr>
        <w:t>. 11,17-24.</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(8) Cfr. </w:t>
      </w:r>
      <w:r w:rsidRPr="003467EF">
        <w:rPr>
          <w:rFonts w:ascii="Times New Roman" w:eastAsia="Times New Roman" w:hAnsi="Times New Roman" w:cs="Times New Roman"/>
          <w:i/>
          <w:iCs/>
          <w:sz w:val="24"/>
          <w:szCs w:val="24"/>
          <w:lang w:val="en-US"/>
        </w:rPr>
        <w:t>Eph</w:t>
      </w:r>
      <w:r w:rsidRPr="003467EF">
        <w:rPr>
          <w:rFonts w:ascii="Times New Roman" w:eastAsia="Times New Roman" w:hAnsi="Times New Roman" w:cs="Times New Roman"/>
          <w:sz w:val="24"/>
          <w:szCs w:val="24"/>
          <w:lang w:val="en-US"/>
        </w:rPr>
        <w:t>. 2,14-16.</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(9) Cfr. </w:t>
      </w:r>
      <w:r w:rsidRPr="003467EF">
        <w:rPr>
          <w:rFonts w:ascii="Times New Roman" w:eastAsia="Times New Roman" w:hAnsi="Times New Roman" w:cs="Times New Roman"/>
          <w:i/>
          <w:iCs/>
          <w:sz w:val="24"/>
          <w:szCs w:val="24"/>
          <w:lang w:val="en-US"/>
        </w:rPr>
        <w:t>Lc</w:t>
      </w:r>
      <w:r w:rsidRPr="003467EF">
        <w:rPr>
          <w:rFonts w:ascii="Times New Roman" w:eastAsia="Times New Roman" w:hAnsi="Times New Roman" w:cs="Times New Roman"/>
          <w:sz w:val="24"/>
          <w:szCs w:val="24"/>
          <w:lang w:val="en-US"/>
        </w:rPr>
        <w:t>. 19,44.</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(10) Cfr. </w:t>
      </w:r>
      <w:r w:rsidRPr="003467EF">
        <w:rPr>
          <w:rFonts w:ascii="Times New Roman" w:eastAsia="Times New Roman" w:hAnsi="Times New Roman" w:cs="Times New Roman"/>
          <w:i/>
          <w:iCs/>
          <w:sz w:val="24"/>
          <w:szCs w:val="24"/>
          <w:lang w:val="en-US"/>
        </w:rPr>
        <w:t>Rom</w:t>
      </w:r>
      <w:r w:rsidRPr="003467EF">
        <w:rPr>
          <w:rFonts w:ascii="Times New Roman" w:eastAsia="Times New Roman" w:hAnsi="Times New Roman" w:cs="Times New Roman"/>
          <w:sz w:val="24"/>
          <w:szCs w:val="24"/>
          <w:lang w:val="en-US"/>
        </w:rPr>
        <w:t> 11,28.</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(11) Cfr. </w:t>
      </w:r>
      <w:r w:rsidRPr="003467EF">
        <w:rPr>
          <w:rFonts w:ascii="Times New Roman" w:eastAsia="Times New Roman" w:hAnsi="Times New Roman" w:cs="Times New Roman"/>
          <w:i/>
          <w:iCs/>
          <w:sz w:val="24"/>
          <w:szCs w:val="24"/>
          <w:lang w:val="en-US"/>
        </w:rPr>
        <w:t>Rom</w:t>
      </w:r>
      <w:r w:rsidRPr="003467EF">
        <w:rPr>
          <w:rFonts w:ascii="Times New Roman" w:eastAsia="Times New Roman" w:hAnsi="Times New Roman" w:cs="Times New Roman"/>
          <w:sz w:val="24"/>
          <w:szCs w:val="24"/>
          <w:lang w:val="en-US"/>
        </w:rPr>
        <w:t>. 11,28-29; Conc. Vat. II, Const. dogm. de Ecclesia, </w:t>
      </w:r>
      <w:hyperlink r:id="rId5" w:history="1">
        <w:r w:rsidRPr="003467EF">
          <w:rPr>
            <w:rFonts w:ascii="Times New Roman" w:eastAsia="Times New Roman" w:hAnsi="Times New Roman" w:cs="Times New Roman"/>
            <w:i/>
            <w:iCs/>
            <w:sz w:val="24"/>
            <w:szCs w:val="24"/>
            <w:u w:val="single"/>
            <w:lang w:val="en-US"/>
          </w:rPr>
          <w:t>Lumen Gentium</w:t>
        </w:r>
      </w:hyperlink>
      <w:r w:rsidRPr="003467EF">
        <w:rPr>
          <w:rFonts w:ascii="Times New Roman" w:eastAsia="Times New Roman" w:hAnsi="Times New Roman" w:cs="Times New Roman"/>
          <w:sz w:val="24"/>
          <w:szCs w:val="24"/>
          <w:lang w:val="en-US"/>
        </w:rPr>
        <w:t>: A.A.S. 57 (1965) p. 20.</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lang w:val="en-US"/>
        </w:rPr>
      </w:pPr>
      <w:r w:rsidRPr="003467EF">
        <w:rPr>
          <w:rFonts w:ascii="Times New Roman" w:eastAsia="Times New Roman" w:hAnsi="Times New Roman" w:cs="Times New Roman"/>
          <w:sz w:val="24"/>
          <w:szCs w:val="24"/>
          <w:lang w:val="en-US"/>
        </w:rPr>
        <w:t>(12) Cfr. </w:t>
      </w:r>
      <w:r w:rsidRPr="003467EF">
        <w:rPr>
          <w:rFonts w:ascii="Times New Roman" w:eastAsia="Times New Roman" w:hAnsi="Times New Roman" w:cs="Times New Roman"/>
          <w:i/>
          <w:iCs/>
          <w:sz w:val="24"/>
          <w:szCs w:val="24"/>
          <w:lang w:val="en-US"/>
        </w:rPr>
        <w:t>Is</w:t>
      </w:r>
      <w:r w:rsidRPr="003467EF">
        <w:rPr>
          <w:rFonts w:ascii="Times New Roman" w:eastAsia="Times New Roman" w:hAnsi="Times New Roman" w:cs="Times New Roman"/>
          <w:sz w:val="24"/>
          <w:szCs w:val="24"/>
          <w:lang w:val="en-US"/>
        </w:rPr>
        <w:t>. 66,23; </w:t>
      </w:r>
      <w:r w:rsidRPr="003467EF">
        <w:rPr>
          <w:rFonts w:ascii="Times New Roman" w:eastAsia="Times New Roman" w:hAnsi="Times New Roman" w:cs="Times New Roman"/>
          <w:i/>
          <w:iCs/>
          <w:sz w:val="24"/>
          <w:szCs w:val="24"/>
          <w:lang w:val="en-US"/>
        </w:rPr>
        <w:t>Ps</w:t>
      </w:r>
      <w:r w:rsidRPr="003467EF">
        <w:rPr>
          <w:rFonts w:ascii="Times New Roman" w:eastAsia="Times New Roman" w:hAnsi="Times New Roman" w:cs="Times New Roman"/>
          <w:sz w:val="24"/>
          <w:szCs w:val="24"/>
          <w:lang w:val="en-US"/>
        </w:rPr>
        <w:t>. 65,4; </w:t>
      </w:r>
      <w:r w:rsidRPr="003467EF">
        <w:rPr>
          <w:rFonts w:ascii="Times New Roman" w:eastAsia="Times New Roman" w:hAnsi="Times New Roman" w:cs="Times New Roman"/>
          <w:i/>
          <w:iCs/>
          <w:sz w:val="24"/>
          <w:szCs w:val="24"/>
          <w:lang w:val="en-US"/>
        </w:rPr>
        <w:t>Rom</w:t>
      </w:r>
      <w:r w:rsidRPr="003467EF">
        <w:rPr>
          <w:rFonts w:ascii="Times New Roman" w:eastAsia="Times New Roman" w:hAnsi="Times New Roman" w:cs="Times New Roman"/>
          <w:sz w:val="24"/>
          <w:szCs w:val="24"/>
          <w:lang w:val="en-US"/>
        </w:rPr>
        <w:t>. 11,11-32.</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(13) Cfr. </w:t>
      </w:r>
      <w:r w:rsidRPr="003467EF">
        <w:rPr>
          <w:rFonts w:ascii="Times New Roman" w:eastAsia="Times New Roman" w:hAnsi="Times New Roman" w:cs="Times New Roman"/>
          <w:i/>
          <w:iCs/>
          <w:sz w:val="24"/>
          <w:szCs w:val="24"/>
        </w:rPr>
        <w:t>Io</w:t>
      </w:r>
      <w:r w:rsidRPr="003467EF">
        <w:rPr>
          <w:rFonts w:ascii="Times New Roman" w:eastAsia="Times New Roman" w:hAnsi="Times New Roman" w:cs="Times New Roman"/>
          <w:sz w:val="24"/>
          <w:szCs w:val="24"/>
        </w:rPr>
        <w:t>. 19,6.</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(14) Cf. </w:t>
      </w:r>
      <w:r w:rsidRPr="003467EF">
        <w:rPr>
          <w:rFonts w:ascii="Times New Roman" w:eastAsia="Times New Roman" w:hAnsi="Times New Roman" w:cs="Times New Roman"/>
          <w:i/>
          <w:iCs/>
          <w:sz w:val="24"/>
          <w:szCs w:val="24"/>
        </w:rPr>
        <w:t>Rom</w:t>
      </w:r>
      <w:r w:rsidRPr="003467EF">
        <w:rPr>
          <w:rFonts w:ascii="Times New Roman" w:eastAsia="Times New Roman" w:hAnsi="Times New Roman" w:cs="Times New Roman"/>
          <w:sz w:val="24"/>
          <w:szCs w:val="24"/>
        </w:rPr>
        <w:t> 12,18.</w:t>
      </w:r>
    </w:p>
    <w:p w:rsidR="003467EF" w:rsidRPr="003467EF" w:rsidRDefault="003467EF" w:rsidP="003467EF">
      <w:pPr>
        <w:spacing w:before="100" w:beforeAutospacing="1" w:after="100" w:afterAutospacing="1" w:line="240" w:lineRule="auto"/>
        <w:jc w:val="both"/>
        <w:rPr>
          <w:rFonts w:ascii="Times New Roman" w:eastAsia="Times New Roman" w:hAnsi="Times New Roman" w:cs="Times New Roman"/>
          <w:sz w:val="24"/>
          <w:szCs w:val="24"/>
        </w:rPr>
      </w:pPr>
      <w:r w:rsidRPr="003467EF">
        <w:rPr>
          <w:rFonts w:ascii="Times New Roman" w:eastAsia="Times New Roman" w:hAnsi="Times New Roman" w:cs="Times New Roman"/>
          <w:sz w:val="24"/>
          <w:szCs w:val="24"/>
        </w:rPr>
        <w:t>(15) Cf. </w:t>
      </w:r>
      <w:r w:rsidRPr="003467EF">
        <w:rPr>
          <w:rFonts w:ascii="Times New Roman" w:eastAsia="Times New Roman" w:hAnsi="Times New Roman" w:cs="Times New Roman"/>
          <w:i/>
          <w:iCs/>
          <w:sz w:val="24"/>
          <w:szCs w:val="24"/>
        </w:rPr>
        <w:t>Mt</w:t>
      </w:r>
      <w:r w:rsidRPr="003467EF">
        <w:rPr>
          <w:rFonts w:ascii="Times New Roman" w:eastAsia="Times New Roman" w:hAnsi="Times New Roman" w:cs="Times New Roman"/>
          <w:sz w:val="24"/>
          <w:szCs w:val="24"/>
        </w:rPr>
        <w:t> 5,45.</w:t>
      </w:r>
    </w:p>
    <w:p w:rsidR="005C5B2D" w:rsidRPr="003467EF" w:rsidRDefault="005C5B2D" w:rsidP="003467EF">
      <w:pPr>
        <w:ind w:firstLine="284"/>
        <w:jc w:val="both"/>
        <w:rPr>
          <w:rFonts w:ascii="Times New Roman" w:hAnsi="Times New Roman" w:cs="Times New Roman"/>
          <w:sz w:val="24"/>
          <w:szCs w:val="24"/>
        </w:rPr>
      </w:pPr>
    </w:p>
    <w:sectPr w:rsidR="005C5B2D" w:rsidRPr="003467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7EF"/>
    <w:rsid w:val="003467EF"/>
    <w:rsid w:val="005C5B2D"/>
    <w:rsid w:val="00D253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467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3467EF"/>
  </w:style>
  <w:style w:type="character" w:styleId="Collegamentoipertestuale">
    <w:name w:val="Hyperlink"/>
    <w:basedOn w:val="Carpredefinitoparagrafo"/>
    <w:uiPriority w:val="99"/>
    <w:semiHidden/>
    <w:unhideWhenUsed/>
    <w:rsid w:val="003467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467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3467EF"/>
  </w:style>
  <w:style w:type="character" w:styleId="Collegamentoipertestuale">
    <w:name w:val="Hyperlink"/>
    <w:basedOn w:val="Carpredefinitoparagrafo"/>
    <w:uiPriority w:val="99"/>
    <w:semiHidden/>
    <w:unhideWhenUsed/>
    <w:rsid w:val="003467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2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atican.va/archive/hist_councils/ii_vatican_council/documents/vat-ii_const_19641121_lumen-gentium_lt.html"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ulio\AppData\Roaming\Microsoft\Templates\NormalTimes.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NormalTimes</Template>
  <TotalTime>1</TotalTime>
  <Pages>7</Pages>
  <Words>2290</Words>
  <Characters>13054</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Giulio</dc:creator>
  <cp:lastModifiedBy>Giulio</cp:lastModifiedBy>
  <cp:revision>1</cp:revision>
  <dcterms:created xsi:type="dcterms:W3CDTF">2013-01-29T15:08:00Z</dcterms:created>
  <dcterms:modified xsi:type="dcterms:W3CDTF">2013-01-29T15:09:00Z</dcterms:modified>
</cp:coreProperties>
</file>